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Психолого-педагогические и учебно-методические аспекты деятельности педагога дополнительного образования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Категория слушателей: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педагоги-организаторы, руководители, заместители руководителей учреждений дополнительного образования.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повышение профессионального мастерства педагогов дополнительного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образования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представлений слушателей о системе работы педагога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основные особенности его работы в системе дополнительного образования детей в современных условиях;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обучить научной организации педагогического труда и правилам ведения документации в учреждениях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помочь преодолеть трудности в профессиональном общении и развитии коммуникативного потенциала.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 курса: дополнительное образование детей; педагог дополнительного образования; педагог дополнительного образования; методика; технология; взаимодействие; педагогическая деятельность; педагогическая поддержка; образовательный маршрут; развитие личности; творчество;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сущность профессиональной деятельности педагога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документов, регламентирующих деятельность педагогов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управления учреждением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сущность инновационных процессов, идущих в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дошкольном образовании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специфику развития интересов и потребностей обучающихся (воспитанников), основы их творческой деятельности;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методику поиска и поддержки молодых талантов;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содержание, методику и организацию научно-технической, эстетической, туристско-краеведческой, оздоровительно-спортивной,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досуговой деятельности, отдыха и развлечений;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занятий кружков, секций, студий, клубных объединений;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деятельности детских коллективов, организаций и ассоциаций;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нормы и правила охраны труда, техники безопасности и противопожарной защиты.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психолого-педагогического сопровождения деятельности педагога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разрабатывать концепцию развития учреждения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профессиональную ориентацию школьников в системе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актуальные и перспективные цели развития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образовательный процесс, ориентированный на воспитание и развитие личности ребёнка;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разнообразную творческую деятельность;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творческие способности обучающихся(воспитанников), способствуя их развитию, формированию устойчивых профессиональных интересов и склонностей;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разрабатывать и реализовывать образовательные программы;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планы и программы занятий, обеспечивать их выполнение;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 педагогически обоснованный выбор форм, средств и методов работы (обучения), исходя из психофизической целесообразности;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комплектовать состав обучающихся (воспитанников) кружка, секции, студии, клубного и другого детского объединения и принимать меры по его сохранению в течение срока обучения;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владеть: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организационными формами диагностической работы с детьми;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системного анализа показателей, характеризующих деятельность кружка, клуба, секции и т. д.;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разработки программ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разработки учебно-программной документации;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психолого-педагогической диагностики;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методами проектирования, реализации, мониторинга развития, экспертизы и коррекции программ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средствами предупреждения и разрешения конфликтов в детском коллективе.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повышения квалификации</w:t>
      </w:r>
    </w:p>
    <w:tbl>
      <w:tblPr/>
      <w:tblGrid>
        <w:gridCol w:w="720"/>
        <w:gridCol w:w="7065"/>
        <w:gridCol w:w="1680"/>
      </w:tblGrid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Сущность профессиональной деятельности педагога дополнительного образования и ее нормативное обеспечение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Профессия педагога дополнительного образования и его деятельность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Нормативное обеспечение деятельности педагога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Рабочая программа педагога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Концептуальные основы функционирования учреждений дополнительного образования детей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Концепция деятельности учреждения дополнительного образования детей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учреждением дополнительного образования детей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качеством образования в учреждении дополнительного образования детей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Методическая, профессионально ориентационная, инновационная деятельность в системе дополнительного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Методическая работа в учреждениях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Профессиональная ориентация в системе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Инновации в системе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46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4. Психолого-педагогическое сопровождение деятельности педагога дополнительного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психолого-педагогического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сопровождения деятельности педагога дополнительного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Дополнительное образование детей в общеобразовательных учреждениях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78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5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6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 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8">
    <w:abstractNumId w:val="6"/>
  </w:num>
  <w:num w:numId="6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32377-doshkolnoe-obrazovanie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sispp.tiu.ru/g6629278-dopolnitelnoe-obrazovanie" Id="docRId2" Type="http://schemas.openxmlformats.org/officeDocument/2006/relationships/hyperlink"/><Relationship Target="numbering.xml" Id="docRId4" Type="http://schemas.openxmlformats.org/officeDocument/2006/relationships/numbering"/></Relationships>
</file>